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87" w:rsidRPr="00BC5BDB" w:rsidRDefault="003F7D87" w:rsidP="00CE60EE">
      <w:pPr>
        <w:jc w:val="center"/>
        <w:rPr>
          <w:b/>
          <w:sz w:val="30"/>
          <w:szCs w:val="30"/>
        </w:rPr>
      </w:pPr>
      <w:r>
        <w:rPr>
          <w:rFonts w:eastAsia="黑体" w:hint="eastAsia"/>
          <w:sz w:val="30"/>
          <w:szCs w:val="30"/>
        </w:rPr>
        <w:t>环境科学专业接收</w:t>
      </w:r>
      <w:r>
        <w:rPr>
          <w:rFonts w:eastAsia="黑体"/>
          <w:sz w:val="30"/>
          <w:szCs w:val="30"/>
        </w:rPr>
        <w:t>2014</w:t>
      </w:r>
      <w:r>
        <w:rPr>
          <w:rFonts w:eastAsia="黑体" w:hint="eastAsia"/>
          <w:sz w:val="30"/>
          <w:szCs w:val="30"/>
        </w:rPr>
        <w:t>级本科生</w:t>
      </w:r>
      <w:r w:rsidRPr="00D044E4">
        <w:rPr>
          <w:rFonts w:eastAsia="黑体" w:hint="eastAsia"/>
          <w:sz w:val="30"/>
          <w:szCs w:val="30"/>
        </w:rPr>
        <w:t>转专业</w:t>
      </w:r>
      <w:r>
        <w:rPr>
          <w:rFonts w:eastAsia="黑体" w:hint="eastAsia"/>
          <w:sz w:val="30"/>
          <w:szCs w:val="30"/>
        </w:rPr>
        <w:t>安排</w:t>
      </w:r>
    </w:p>
    <w:p w:rsidR="003F7D87" w:rsidRPr="00BC5BDB" w:rsidRDefault="003F7D87" w:rsidP="00CE60EE">
      <w:pPr>
        <w:rPr>
          <w:b/>
          <w:sz w:val="28"/>
          <w:szCs w:val="28"/>
        </w:rPr>
      </w:pPr>
      <w:r w:rsidRPr="00BC5BDB">
        <w:rPr>
          <w:rFonts w:hint="eastAsia"/>
          <w:b/>
          <w:sz w:val="28"/>
          <w:szCs w:val="28"/>
        </w:rPr>
        <w:t>一、转入学生基本条件</w:t>
      </w:r>
    </w:p>
    <w:p w:rsidR="003F7D87" w:rsidRPr="00BC5BDB" w:rsidRDefault="003F7D87" w:rsidP="00CE60EE">
      <w:pPr>
        <w:rPr>
          <w:sz w:val="28"/>
          <w:szCs w:val="28"/>
        </w:rPr>
      </w:pPr>
      <w:r w:rsidRPr="00D044E4">
        <w:rPr>
          <w:rFonts w:hint="eastAsia"/>
          <w:sz w:val="24"/>
        </w:rPr>
        <w:t>（</w:t>
      </w:r>
      <w:r w:rsidRPr="00BC5BDB">
        <w:rPr>
          <w:sz w:val="28"/>
          <w:szCs w:val="28"/>
        </w:rPr>
        <w:t>1</w:t>
      </w:r>
      <w:r w:rsidRPr="00BC5BDB">
        <w:rPr>
          <w:rFonts w:hint="eastAsia"/>
          <w:sz w:val="28"/>
          <w:szCs w:val="28"/>
        </w:rPr>
        <w:t>）</w:t>
      </w:r>
      <w:r w:rsidRPr="00BC5BDB">
        <w:rPr>
          <w:sz w:val="28"/>
          <w:szCs w:val="28"/>
        </w:rPr>
        <w:t>201</w:t>
      </w:r>
      <w:r>
        <w:rPr>
          <w:sz w:val="28"/>
          <w:szCs w:val="28"/>
        </w:rPr>
        <w:t>4</w:t>
      </w:r>
      <w:r w:rsidRPr="00BC5BDB">
        <w:rPr>
          <w:rFonts w:hint="eastAsia"/>
          <w:sz w:val="28"/>
          <w:szCs w:val="28"/>
        </w:rPr>
        <w:t>年入校的全日制在校一年级本科生，在校期间从未转过专业。</w:t>
      </w:r>
    </w:p>
    <w:p w:rsidR="003F7D87" w:rsidRPr="00BC5BDB" w:rsidRDefault="003F7D87" w:rsidP="00CE60EE">
      <w:pPr>
        <w:rPr>
          <w:sz w:val="28"/>
          <w:szCs w:val="28"/>
        </w:rPr>
      </w:pPr>
      <w:r w:rsidRPr="00BC5BDB">
        <w:rPr>
          <w:rFonts w:hint="eastAsia"/>
          <w:sz w:val="28"/>
          <w:szCs w:val="28"/>
        </w:rPr>
        <w:t>（</w:t>
      </w:r>
      <w:r w:rsidRPr="00BC5BDB">
        <w:rPr>
          <w:sz w:val="28"/>
          <w:szCs w:val="28"/>
        </w:rPr>
        <w:t>2</w:t>
      </w:r>
      <w:r w:rsidRPr="00BC5BDB">
        <w:rPr>
          <w:rFonts w:hint="eastAsia"/>
          <w:sz w:val="28"/>
          <w:szCs w:val="28"/>
        </w:rPr>
        <w:t>）完成原专业第一学期教学计划要求的全部课程并获得学分，且学期学分成绩在</w:t>
      </w:r>
      <w:r w:rsidRPr="00BC5BDB">
        <w:rPr>
          <w:sz w:val="28"/>
          <w:szCs w:val="28"/>
        </w:rPr>
        <w:t>70</w:t>
      </w:r>
      <w:r w:rsidRPr="00BC5BDB">
        <w:rPr>
          <w:rFonts w:hint="eastAsia"/>
          <w:sz w:val="28"/>
          <w:szCs w:val="28"/>
        </w:rPr>
        <w:t>分以上。学分成绩计算公式：学分成绩</w:t>
      </w:r>
      <w:r w:rsidRPr="00BC5BDB">
        <w:rPr>
          <w:sz w:val="28"/>
          <w:szCs w:val="28"/>
        </w:rPr>
        <w:t>=</w:t>
      </w:r>
      <w:r w:rsidRPr="00BC5BDB">
        <w:rPr>
          <w:rFonts w:hint="eastAsia"/>
          <w:sz w:val="28"/>
          <w:szCs w:val="28"/>
        </w:rPr>
        <w:t>∑</w:t>
      </w:r>
      <w:r w:rsidRPr="00BC5BDB">
        <w:rPr>
          <w:sz w:val="28"/>
          <w:szCs w:val="28"/>
        </w:rPr>
        <w:t>(</w:t>
      </w:r>
      <w:r w:rsidRPr="00BC5BDB">
        <w:rPr>
          <w:rFonts w:hint="eastAsia"/>
          <w:sz w:val="28"/>
          <w:szCs w:val="28"/>
        </w:rPr>
        <w:t>课程成绩×学分</w:t>
      </w:r>
      <w:r w:rsidRPr="00BC5BDB">
        <w:rPr>
          <w:sz w:val="28"/>
          <w:szCs w:val="28"/>
        </w:rPr>
        <w:t>)</w:t>
      </w:r>
      <w:r w:rsidRPr="00BC5BDB">
        <w:rPr>
          <w:rFonts w:hint="eastAsia"/>
          <w:sz w:val="28"/>
          <w:szCs w:val="28"/>
        </w:rPr>
        <w:t>÷∑学分。</w:t>
      </w:r>
    </w:p>
    <w:p w:rsidR="003F7D87" w:rsidRPr="00BC5BDB" w:rsidRDefault="003F7D87" w:rsidP="00CE60EE">
      <w:pPr>
        <w:rPr>
          <w:sz w:val="28"/>
          <w:szCs w:val="28"/>
        </w:rPr>
      </w:pPr>
      <w:r w:rsidRPr="00BC5BDB">
        <w:rPr>
          <w:rFonts w:hint="eastAsia"/>
          <w:sz w:val="28"/>
          <w:szCs w:val="28"/>
        </w:rPr>
        <w:t>（</w:t>
      </w:r>
      <w:r w:rsidRPr="00BC5BDB">
        <w:rPr>
          <w:sz w:val="28"/>
          <w:szCs w:val="28"/>
        </w:rPr>
        <w:t>3</w:t>
      </w:r>
      <w:r w:rsidRPr="00BC5BDB">
        <w:rPr>
          <w:rFonts w:hint="eastAsia"/>
          <w:sz w:val="28"/>
          <w:szCs w:val="28"/>
        </w:rPr>
        <w:t>）自愿转入地球环境科学专业，清楚地球环境科学专业的培养计划、专业特点，明确转入后自己需要补修哪些课程及由此带来的学习压力。</w:t>
      </w:r>
    </w:p>
    <w:p w:rsidR="003F7D87" w:rsidRPr="00BC5BDB" w:rsidRDefault="003F7D87" w:rsidP="00DC0177">
      <w:pPr>
        <w:outlineLvl w:val="0"/>
        <w:rPr>
          <w:b/>
          <w:sz w:val="28"/>
          <w:szCs w:val="28"/>
        </w:rPr>
      </w:pPr>
      <w:r w:rsidRPr="00BC5BDB">
        <w:rPr>
          <w:rFonts w:hint="eastAsia"/>
          <w:b/>
          <w:sz w:val="28"/>
          <w:szCs w:val="28"/>
        </w:rPr>
        <w:t>二、转入学生的补修课程要求</w:t>
      </w:r>
    </w:p>
    <w:p w:rsidR="003F7D87" w:rsidRPr="00607118" w:rsidRDefault="003F7D87" w:rsidP="00CE60EE">
      <w:pPr>
        <w:spacing w:line="300" w:lineRule="auto"/>
        <w:jc w:val="center"/>
        <w:rPr>
          <w:sz w:val="24"/>
        </w:rPr>
      </w:pPr>
      <w:r>
        <w:rPr>
          <w:rFonts w:hint="eastAsia"/>
          <w:sz w:val="24"/>
        </w:rPr>
        <w:t>表</w:t>
      </w:r>
      <w:r>
        <w:rPr>
          <w:sz w:val="24"/>
        </w:rPr>
        <w:t xml:space="preserve">1  </w:t>
      </w:r>
      <w:r>
        <w:rPr>
          <w:rFonts w:hint="eastAsia"/>
          <w:sz w:val="24"/>
        </w:rPr>
        <w:t>地球环境科学</w:t>
      </w:r>
      <w:r w:rsidRPr="00607118">
        <w:rPr>
          <w:rFonts w:hint="eastAsia"/>
          <w:sz w:val="24"/>
        </w:rPr>
        <w:t>专业第</w:t>
      </w:r>
      <w:r w:rsidRPr="00607118">
        <w:rPr>
          <w:sz w:val="24"/>
        </w:rPr>
        <w:t>1</w:t>
      </w:r>
      <w:r w:rsidRPr="00607118">
        <w:rPr>
          <w:rFonts w:hint="eastAsia"/>
          <w:sz w:val="24"/>
        </w:rPr>
        <w:t>学年自然科学、学科大类、专业类必修课程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1290"/>
        <w:gridCol w:w="2147"/>
        <w:gridCol w:w="678"/>
        <w:gridCol w:w="1114"/>
        <w:gridCol w:w="1102"/>
        <w:gridCol w:w="1102"/>
      </w:tblGrid>
      <w:tr w:rsidR="003F7D87" w:rsidRPr="002801D0" w:rsidTr="00021C46">
        <w:trPr>
          <w:jc w:val="center"/>
        </w:trPr>
        <w:tc>
          <w:tcPr>
            <w:tcW w:w="1158" w:type="dxa"/>
            <w:vAlign w:val="center"/>
          </w:tcPr>
          <w:p w:rsidR="003F7D87" w:rsidRPr="002801D0" w:rsidRDefault="003F7D87" w:rsidP="00021C46">
            <w:pPr>
              <w:adjustRightInd w:val="0"/>
              <w:snapToGrid w:val="0"/>
              <w:jc w:val="center"/>
              <w:rPr>
                <w:szCs w:val="21"/>
              </w:rPr>
            </w:pPr>
            <w:r w:rsidRPr="002801D0">
              <w:rPr>
                <w:rFonts w:hAnsi="宋体" w:hint="eastAsia"/>
                <w:szCs w:val="21"/>
              </w:rPr>
              <w:t>课程学期</w:t>
            </w:r>
          </w:p>
        </w:tc>
        <w:tc>
          <w:tcPr>
            <w:tcW w:w="1260" w:type="dxa"/>
            <w:vAlign w:val="center"/>
          </w:tcPr>
          <w:p w:rsidR="003F7D87" w:rsidRPr="002801D0" w:rsidRDefault="003F7D87" w:rsidP="00021C46">
            <w:pPr>
              <w:adjustRightInd w:val="0"/>
              <w:snapToGrid w:val="0"/>
              <w:jc w:val="center"/>
              <w:rPr>
                <w:szCs w:val="21"/>
              </w:rPr>
            </w:pPr>
            <w:r w:rsidRPr="002801D0">
              <w:rPr>
                <w:rFonts w:hAnsi="宋体" w:hint="eastAsia"/>
                <w:szCs w:val="21"/>
              </w:rPr>
              <w:t>课程编码</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课程名称</w:t>
            </w:r>
          </w:p>
        </w:tc>
        <w:tc>
          <w:tcPr>
            <w:tcW w:w="703" w:type="dxa"/>
            <w:vAlign w:val="center"/>
          </w:tcPr>
          <w:p w:rsidR="003F7D87" w:rsidRPr="002801D0" w:rsidRDefault="003F7D87" w:rsidP="00021C46">
            <w:pPr>
              <w:adjustRightInd w:val="0"/>
              <w:snapToGrid w:val="0"/>
              <w:jc w:val="center"/>
              <w:rPr>
                <w:szCs w:val="21"/>
              </w:rPr>
            </w:pPr>
            <w:r w:rsidRPr="002801D0">
              <w:rPr>
                <w:rFonts w:hAnsi="宋体" w:hint="eastAsia"/>
                <w:szCs w:val="21"/>
              </w:rPr>
              <w:t>学分</w:t>
            </w:r>
          </w:p>
        </w:tc>
        <w:tc>
          <w:tcPr>
            <w:tcW w:w="1187" w:type="dxa"/>
            <w:vAlign w:val="center"/>
          </w:tcPr>
          <w:p w:rsidR="003F7D87" w:rsidRPr="002801D0" w:rsidRDefault="003F7D87" w:rsidP="00021C46">
            <w:pPr>
              <w:spacing w:line="300" w:lineRule="auto"/>
              <w:jc w:val="center"/>
              <w:rPr>
                <w:szCs w:val="21"/>
              </w:rPr>
            </w:pPr>
            <w:r w:rsidRPr="002801D0">
              <w:rPr>
                <w:rFonts w:hAnsi="宋体" w:hint="eastAsia"/>
                <w:szCs w:val="21"/>
              </w:rPr>
              <w:t>总学时</w:t>
            </w:r>
          </w:p>
        </w:tc>
        <w:tc>
          <w:tcPr>
            <w:tcW w:w="1187" w:type="dxa"/>
            <w:vAlign w:val="center"/>
          </w:tcPr>
          <w:p w:rsidR="003F7D87" w:rsidRPr="002801D0" w:rsidRDefault="003F7D87" w:rsidP="00021C46">
            <w:pPr>
              <w:spacing w:line="300" w:lineRule="auto"/>
              <w:jc w:val="center"/>
              <w:rPr>
                <w:rFonts w:hAnsi="宋体"/>
                <w:szCs w:val="21"/>
              </w:rPr>
            </w:pPr>
            <w:r w:rsidRPr="002801D0">
              <w:rPr>
                <w:rFonts w:hAnsi="宋体" w:hint="eastAsia"/>
                <w:szCs w:val="21"/>
              </w:rPr>
              <w:t>课程要求</w:t>
            </w:r>
          </w:p>
        </w:tc>
        <w:tc>
          <w:tcPr>
            <w:tcW w:w="1187" w:type="dxa"/>
            <w:vAlign w:val="center"/>
          </w:tcPr>
          <w:p w:rsidR="003F7D87" w:rsidRPr="002801D0" w:rsidRDefault="003F7D87" w:rsidP="00021C46">
            <w:pPr>
              <w:spacing w:line="300" w:lineRule="auto"/>
              <w:jc w:val="center"/>
              <w:rPr>
                <w:rFonts w:hAnsi="宋体"/>
                <w:szCs w:val="21"/>
              </w:rPr>
            </w:pPr>
            <w:r w:rsidRPr="002801D0">
              <w:rPr>
                <w:rFonts w:hAnsi="宋体" w:hint="eastAsia"/>
                <w:szCs w:val="21"/>
              </w:rPr>
              <w:t>授课形式</w:t>
            </w:r>
          </w:p>
        </w:tc>
      </w:tr>
      <w:tr w:rsidR="003F7D87" w:rsidRPr="002801D0" w:rsidTr="00021C46">
        <w:trPr>
          <w:jc w:val="center"/>
        </w:trPr>
        <w:tc>
          <w:tcPr>
            <w:tcW w:w="1158" w:type="dxa"/>
            <w:vAlign w:val="center"/>
          </w:tcPr>
          <w:p w:rsidR="003F7D87" w:rsidRPr="002801D0" w:rsidRDefault="003F7D87" w:rsidP="00021C46">
            <w:pPr>
              <w:adjustRightInd w:val="0"/>
              <w:snapToGrid w:val="0"/>
              <w:jc w:val="center"/>
              <w:rPr>
                <w:szCs w:val="21"/>
              </w:rPr>
            </w:pPr>
            <w:r w:rsidRPr="002801D0">
              <w:rPr>
                <w:szCs w:val="21"/>
              </w:rPr>
              <w:t>1</w:t>
            </w:r>
            <w:r w:rsidRPr="002801D0">
              <w:rPr>
                <w:rFonts w:hint="eastAsia"/>
                <w:szCs w:val="21"/>
              </w:rPr>
              <w:t>、</w:t>
            </w:r>
            <w:r w:rsidRPr="002801D0">
              <w:rPr>
                <w:szCs w:val="21"/>
              </w:rPr>
              <w:t>2</w:t>
            </w:r>
          </w:p>
        </w:tc>
        <w:tc>
          <w:tcPr>
            <w:tcW w:w="1260" w:type="dxa"/>
            <w:vAlign w:val="center"/>
          </w:tcPr>
          <w:p w:rsidR="003F7D87" w:rsidRPr="002801D0" w:rsidRDefault="003F7D87" w:rsidP="00021C46">
            <w:pPr>
              <w:adjustRightInd w:val="0"/>
              <w:snapToGrid w:val="0"/>
              <w:jc w:val="center"/>
              <w:rPr>
                <w:szCs w:val="21"/>
              </w:rPr>
            </w:pPr>
            <w:r w:rsidRPr="002801D0">
              <w:rPr>
                <w:szCs w:val="21"/>
              </w:rPr>
              <w:t>MATH10</w:t>
            </w:r>
            <w:r>
              <w:rPr>
                <w:szCs w:val="21"/>
              </w:rPr>
              <w:t>33</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高等数学</w:t>
            </w:r>
            <w:r w:rsidRPr="002801D0">
              <w:rPr>
                <w:szCs w:val="21"/>
              </w:rPr>
              <w:t>(II)</w:t>
            </w:r>
            <w:r w:rsidRPr="002801D0">
              <w:rPr>
                <w:rFonts w:hAnsi="宋体"/>
                <w:szCs w:val="21"/>
              </w:rPr>
              <w:t xml:space="preserve"> </w:t>
            </w:r>
          </w:p>
        </w:tc>
        <w:tc>
          <w:tcPr>
            <w:tcW w:w="703" w:type="dxa"/>
            <w:vAlign w:val="center"/>
          </w:tcPr>
          <w:p w:rsidR="003F7D87" w:rsidRPr="002801D0" w:rsidRDefault="003F7D87" w:rsidP="00021C46">
            <w:pPr>
              <w:adjustRightInd w:val="0"/>
              <w:snapToGrid w:val="0"/>
              <w:jc w:val="center"/>
              <w:rPr>
                <w:szCs w:val="21"/>
              </w:rPr>
            </w:pPr>
            <w:r>
              <w:rPr>
                <w:szCs w:val="21"/>
              </w:rPr>
              <w:t>11</w:t>
            </w:r>
          </w:p>
        </w:tc>
        <w:tc>
          <w:tcPr>
            <w:tcW w:w="1187" w:type="dxa"/>
            <w:vAlign w:val="center"/>
          </w:tcPr>
          <w:p w:rsidR="003F7D87" w:rsidRPr="002801D0" w:rsidRDefault="003F7D87" w:rsidP="00021C46">
            <w:pPr>
              <w:spacing w:line="300" w:lineRule="auto"/>
              <w:jc w:val="center"/>
              <w:rPr>
                <w:szCs w:val="21"/>
              </w:rPr>
            </w:pPr>
            <w:r>
              <w:rPr>
                <w:szCs w:val="21"/>
              </w:rPr>
              <w:t>180</w:t>
            </w:r>
          </w:p>
        </w:tc>
        <w:tc>
          <w:tcPr>
            <w:tcW w:w="1187" w:type="dxa"/>
            <w:vAlign w:val="center"/>
          </w:tcPr>
          <w:p w:rsidR="003F7D87" w:rsidRPr="002801D0" w:rsidRDefault="003F7D87" w:rsidP="00021C46">
            <w:pPr>
              <w:spacing w:line="300" w:lineRule="auto"/>
              <w:jc w:val="center"/>
              <w:rPr>
                <w:szCs w:val="21"/>
              </w:rPr>
            </w:pPr>
            <w:r w:rsidRPr="002801D0">
              <w:rPr>
                <w:rFonts w:hint="eastAsia"/>
                <w:szCs w:val="21"/>
              </w:rPr>
              <w:t>必修</w:t>
            </w:r>
          </w:p>
        </w:tc>
        <w:tc>
          <w:tcPr>
            <w:tcW w:w="1187" w:type="dxa"/>
            <w:vAlign w:val="center"/>
          </w:tcPr>
          <w:p w:rsidR="003F7D87" w:rsidRPr="002801D0" w:rsidRDefault="003F7D87" w:rsidP="00021C46">
            <w:pPr>
              <w:spacing w:line="300" w:lineRule="auto"/>
              <w:jc w:val="center"/>
              <w:rPr>
                <w:szCs w:val="21"/>
              </w:rPr>
            </w:pPr>
            <w:r w:rsidRPr="002801D0">
              <w:rPr>
                <w:rFonts w:hint="eastAsia"/>
                <w:szCs w:val="21"/>
              </w:rPr>
              <w:t>授课</w:t>
            </w:r>
          </w:p>
        </w:tc>
      </w:tr>
      <w:tr w:rsidR="003F7D87" w:rsidRPr="002801D0" w:rsidTr="00021C46">
        <w:trPr>
          <w:jc w:val="center"/>
        </w:trPr>
        <w:tc>
          <w:tcPr>
            <w:tcW w:w="1158" w:type="dxa"/>
            <w:vAlign w:val="center"/>
          </w:tcPr>
          <w:p w:rsidR="003F7D87" w:rsidRPr="002801D0" w:rsidRDefault="003F7D87" w:rsidP="00021C46">
            <w:pPr>
              <w:spacing w:line="300" w:lineRule="auto"/>
              <w:jc w:val="center"/>
              <w:rPr>
                <w:szCs w:val="21"/>
              </w:rPr>
            </w:pPr>
            <w:r w:rsidRPr="002801D0">
              <w:rPr>
                <w:szCs w:val="21"/>
              </w:rPr>
              <w:t>1</w:t>
            </w:r>
          </w:p>
        </w:tc>
        <w:tc>
          <w:tcPr>
            <w:tcW w:w="1260" w:type="dxa"/>
            <w:vAlign w:val="center"/>
          </w:tcPr>
          <w:p w:rsidR="003F7D87" w:rsidRPr="002801D0" w:rsidRDefault="003F7D87" w:rsidP="00021C46">
            <w:pPr>
              <w:adjustRightInd w:val="0"/>
              <w:snapToGrid w:val="0"/>
              <w:jc w:val="center"/>
              <w:rPr>
                <w:szCs w:val="21"/>
              </w:rPr>
            </w:pPr>
            <w:r>
              <w:rPr>
                <w:szCs w:val="21"/>
              </w:rPr>
              <w:t>EARS2001</w:t>
            </w:r>
          </w:p>
        </w:tc>
        <w:tc>
          <w:tcPr>
            <w:tcW w:w="2310" w:type="dxa"/>
            <w:vAlign w:val="center"/>
          </w:tcPr>
          <w:p w:rsidR="003F7D87" w:rsidRPr="002801D0" w:rsidRDefault="003F7D87" w:rsidP="00021C46">
            <w:pPr>
              <w:adjustRightInd w:val="0"/>
              <w:snapToGrid w:val="0"/>
              <w:jc w:val="center"/>
              <w:rPr>
                <w:szCs w:val="21"/>
              </w:rPr>
            </w:pPr>
            <w:r w:rsidRPr="002801D0">
              <w:rPr>
                <w:rFonts w:hint="eastAsia"/>
                <w:szCs w:val="21"/>
              </w:rPr>
              <w:t>人居环境科学概论</w:t>
            </w:r>
          </w:p>
        </w:tc>
        <w:tc>
          <w:tcPr>
            <w:tcW w:w="703" w:type="dxa"/>
            <w:vAlign w:val="center"/>
          </w:tcPr>
          <w:p w:rsidR="003F7D87" w:rsidRPr="002801D0" w:rsidRDefault="003F7D87" w:rsidP="00021C46">
            <w:pPr>
              <w:adjustRightInd w:val="0"/>
              <w:snapToGrid w:val="0"/>
              <w:jc w:val="center"/>
              <w:rPr>
                <w:szCs w:val="21"/>
              </w:rPr>
            </w:pPr>
            <w:r w:rsidRPr="002801D0">
              <w:rPr>
                <w:szCs w:val="21"/>
              </w:rPr>
              <w:t>1</w:t>
            </w:r>
          </w:p>
        </w:tc>
        <w:tc>
          <w:tcPr>
            <w:tcW w:w="1187" w:type="dxa"/>
            <w:vAlign w:val="center"/>
          </w:tcPr>
          <w:p w:rsidR="003F7D87" w:rsidRPr="002801D0" w:rsidRDefault="003F7D87" w:rsidP="00021C46">
            <w:pPr>
              <w:spacing w:line="300" w:lineRule="auto"/>
              <w:jc w:val="center"/>
              <w:rPr>
                <w:szCs w:val="21"/>
              </w:rPr>
            </w:pPr>
            <w:r w:rsidRPr="002801D0">
              <w:rPr>
                <w:szCs w:val="21"/>
              </w:rPr>
              <w:t>16</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授课</w:t>
            </w:r>
          </w:p>
        </w:tc>
      </w:tr>
      <w:tr w:rsidR="003F7D87" w:rsidRPr="002801D0" w:rsidTr="00021C46">
        <w:trPr>
          <w:jc w:val="center"/>
        </w:trPr>
        <w:tc>
          <w:tcPr>
            <w:tcW w:w="1158" w:type="dxa"/>
            <w:vAlign w:val="center"/>
          </w:tcPr>
          <w:p w:rsidR="003F7D87" w:rsidRPr="002801D0" w:rsidRDefault="003F7D87" w:rsidP="00021C46">
            <w:pPr>
              <w:adjustRightInd w:val="0"/>
              <w:snapToGrid w:val="0"/>
              <w:jc w:val="center"/>
              <w:rPr>
                <w:szCs w:val="21"/>
              </w:rPr>
            </w:pPr>
            <w:r w:rsidRPr="002801D0">
              <w:rPr>
                <w:szCs w:val="21"/>
              </w:rPr>
              <w:t>1</w:t>
            </w:r>
          </w:p>
        </w:tc>
        <w:tc>
          <w:tcPr>
            <w:tcW w:w="1260" w:type="dxa"/>
            <w:vAlign w:val="center"/>
          </w:tcPr>
          <w:p w:rsidR="003F7D87" w:rsidRPr="002801D0" w:rsidRDefault="003F7D87" w:rsidP="00021C46">
            <w:pPr>
              <w:adjustRightInd w:val="0"/>
              <w:snapToGrid w:val="0"/>
              <w:jc w:val="center"/>
              <w:rPr>
                <w:szCs w:val="21"/>
              </w:rPr>
            </w:pPr>
            <w:r w:rsidRPr="002801D0">
              <w:rPr>
                <w:szCs w:val="21"/>
              </w:rPr>
              <w:t>MATH10</w:t>
            </w:r>
            <w:r>
              <w:rPr>
                <w:szCs w:val="21"/>
              </w:rPr>
              <w:t>39</w:t>
            </w:r>
          </w:p>
        </w:tc>
        <w:tc>
          <w:tcPr>
            <w:tcW w:w="2310" w:type="dxa"/>
            <w:vAlign w:val="center"/>
          </w:tcPr>
          <w:p w:rsidR="003F7D87" w:rsidRPr="002801D0" w:rsidRDefault="003F7D87" w:rsidP="00021C46">
            <w:pPr>
              <w:adjustRightInd w:val="0"/>
              <w:snapToGrid w:val="0"/>
              <w:jc w:val="center"/>
              <w:rPr>
                <w:rFonts w:hAnsi="宋体"/>
                <w:sz w:val="18"/>
                <w:szCs w:val="18"/>
              </w:rPr>
            </w:pPr>
            <w:r w:rsidRPr="002801D0">
              <w:rPr>
                <w:rFonts w:hAnsi="宋体" w:hint="eastAsia"/>
                <w:sz w:val="18"/>
                <w:szCs w:val="18"/>
              </w:rPr>
              <w:t>线性代数与空间解析几何</w:t>
            </w:r>
          </w:p>
        </w:tc>
        <w:tc>
          <w:tcPr>
            <w:tcW w:w="703" w:type="dxa"/>
            <w:vAlign w:val="center"/>
          </w:tcPr>
          <w:p w:rsidR="003F7D87" w:rsidRPr="002801D0" w:rsidRDefault="003F7D87" w:rsidP="00021C46">
            <w:pPr>
              <w:adjustRightInd w:val="0"/>
              <w:snapToGrid w:val="0"/>
              <w:jc w:val="center"/>
              <w:rPr>
                <w:szCs w:val="21"/>
              </w:rPr>
            </w:pPr>
            <w:r w:rsidRPr="002801D0">
              <w:rPr>
                <w:szCs w:val="21"/>
              </w:rPr>
              <w:t>3</w:t>
            </w:r>
          </w:p>
        </w:tc>
        <w:tc>
          <w:tcPr>
            <w:tcW w:w="1187" w:type="dxa"/>
            <w:vAlign w:val="center"/>
          </w:tcPr>
          <w:p w:rsidR="003F7D87" w:rsidRPr="002801D0" w:rsidRDefault="003F7D87" w:rsidP="00021C46">
            <w:pPr>
              <w:spacing w:line="300" w:lineRule="auto"/>
              <w:jc w:val="center"/>
              <w:rPr>
                <w:szCs w:val="21"/>
              </w:rPr>
            </w:pPr>
            <w:r w:rsidRPr="002801D0">
              <w:rPr>
                <w:szCs w:val="21"/>
              </w:rPr>
              <w:t>48</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授课</w:t>
            </w:r>
          </w:p>
        </w:tc>
      </w:tr>
      <w:tr w:rsidR="003F7D87" w:rsidRPr="002801D0" w:rsidTr="00021C46">
        <w:trPr>
          <w:jc w:val="center"/>
        </w:trPr>
        <w:tc>
          <w:tcPr>
            <w:tcW w:w="1158" w:type="dxa"/>
            <w:vAlign w:val="center"/>
          </w:tcPr>
          <w:p w:rsidR="003F7D87" w:rsidRPr="002801D0" w:rsidRDefault="003F7D87" w:rsidP="00021C46">
            <w:pPr>
              <w:adjustRightInd w:val="0"/>
              <w:snapToGrid w:val="0"/>
              <w:jc w:val="center"/>
              <w:rPr>
                <w:szCs w:val="21"/>
              </w:rPr>
            </w:pPr>
            <w:r w:rsidRPr="002801D0">
              <w:rPr>
                <w:szCs w:val="21"/>
              </w:rPr>
              <w:t>1</w:t>
            </w:r>
          </w:p>
        </w:tc>
        <w:tc>
          <w:tcPr>
            <w:tcW w:w="1260" w:type="dxa"/>
            <w:vAlign w:val="center"/>
          </w:tcPr>
          <w:p w:rsidR="003F7D87" w:rsidRPr="002801D0" w:rsidRDefault="003F7D87" w:rsidP="00021C46">
            <w:pPr>
              <w:adjustRightInd w:val="0"/>
              <w:snapToGrid w:val="0"/>
              <w:jc w:val="center"/>
              <w:rPr>
                <w:szCs w:val="21"/>
              </w:rPr>
            </w:pPr>
            <w:r w:rsidRPr="002801D0">
              <w:rPr>
                <w:szCs w:val="21"/>
              </w:rPr>
              <w:t>CHEM100</w:t>
            </w:r>
            <w:r>
              <w:rPr>
                <w:szCs w:val="21"/>
              </w:rPr>
              <w:t>6</w:t>
            </w:r>
          </w:p>
        </w:tc>
        <w:tc>
          <w:tcPr>
            <w:tcW w:w="2310" w:type="dxa"/>
            <w:vAlign w:val="center"/>
          </w:tcPr>
          <w:p w:rsidR="003F7D87" w:rsidRPr="002801D0" w:rsidRDefault="003F7D87" w:rsidP="00021C46">
            <w:pPr>
              <w:adjustRightInd w:val="0"/>
              <w:snapToGrid w:val="0"/>
              <w:jc w:val="center"/>
              <w:rPr>
                <w:rFonts w:hAnsi="宋体"/>
                <w:szCs w:val="21"/>
              </w:rPr>
            </w:pPr>
            <w:r w:rsidRPr="002801D0">
              <w:rPr>
                <w:rFonts w:hAnsi="宋体" w:hint="eastAsia"/>
                <w:szCs w:val="21"/>
              </w:rPr>
              <w:t>无机化学</w:t>
            </w:r>
            <w:r>
              <w:rPr>
                <w:rFonts w:hAnsi="宋体" w:hint="eastAsia"/>
                <w:szCs w:val="21"/>
              </w:rPr>
              <w:t>与分析化学</w:t>
            </w:r>
          </w:p>
        </w:tc>
        <w:tc>
          <w:tcPr>
            <w:tcW w:w="703" w:type="dxa"/>
            <w:vAlign w:val="center"/>
          </w:tcPr>
          <w:p w:rsidR="003F7D87" w:rsidRPr="002801D0" w:rsidRDefault="003F7D87" w:rsidP="00021C46">
            <w:pPr>
              <w:adjustRightInd w:val="0"/>
              <w:snapToGrid w:val="0"/>
              <w:jc w:val="center"/>
              <w:rPr>
                <w:szCs w:val="21"/>
              </w:rPr>
            </w:pPr>
            <w:r w:rsidRPr="002801D0">
              <w:rPr>
                <w:szCs w:val="21"/>
              </w:rPr>
              <w:t>3.5</w:t>
            </w:r>
          </w:p>
        </w:tc>
        <w:tc>
          <w:tcPr>
            <w:tcW w:w="1187" w:type="dxa"/>
            <w:vAlign w:val="center"/>
          </w:tcPr>
          <w:p w:rsidR="003F7D87" w:rsidRPr="002801D0" w:rsidRDefault="003F7D87" w:rsidP="00021C46">
            <w:pPr>
              <w:spacing w:line="300" w:lineRule="auto"/>
              <w:jc w:val="center"/>
              <w:rPr>
                <w:szCs w:val="21"/>
              </w:rPr>
            </w:pPr>
            <w:r w:rsidRPr="002801D0">
              <w:rPr>
                <w:szCs w:val="21"/>
              </w:rPr>
              <w:t>72</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授课</w:t>
            </w:r>
            <w:r w:rsidRPr="002801D0">
              <w:rPr>
                <w:szCs w:val="21"/>
              </w:rPr>
              <w:t>/</w:t>
            </w:r>
            <w:r w:rsidRPr="002801D0">
              <w:rPr>
                <w:rFonts w:hint="eastAsia"/>
                <w:szCs w:val="21"/>
              </w:rPr>
              <w:t>实验</w:t>
            </w:r>
          </w:p>
        </w:tc>
      </w:tr>
      <w:tr w:rsidR="003F7D87" w:rsidRPr="002801D0" w:rsidTr="00021C46">
        <w:trPr>
          <w:jc w:val="center"/>
        </w:trPr>
        <w:tc>
          <w:tcPr>
            <w:tcW w:w="1158" w:type="dxa"/>
            <w:vAlign w:val="center"/>
          </w:tcPr>
          <w:p w:rsidR="003F7D87" w:rsidRPr="002801D0" w:rsidRDefault="003F7D87" w:rsidP="00021C46">
            <w:pPr>
              <w:spacing w:line="300" w:lineRule="auto"/>
              <w:jc w:val="center"/>
              <w:rPr>
                <w:szCs w:val="21"/>
              </w:rPr>
            </w:pPr>
            <w:r w:rsidRPr="002801D0">
              <w:rPr>
                <w:szCs w:val="21"/>
              </w:rPr>
              <w:t>2</w:t>
            </w:r>
          </w:p>
        </w:tc>
        <w:tc>
          <w:tcPr>
            <w:tcW w:w="1260" w:type="dxa"/>
            <w:vAlign w:val="center"/>
          </w:tcPr>
          <w:p w:rsidR="003F7D87" w:rsidRPr="002801D0" w:rsidRDefault="003F7D87" w:rsidP="00021C46">
            <w:pPr>
              <w:adjustRightInd w:val="0"/>
              <w:snapToGrid w:val="0"/>
              <w:jc w:val="center"/>
              <w:rPr>
                <w:szCs w:val="21"/>
              </w:rPr>
            </w:pPr>
            <w:r w:rsidRPr="002801D0">
              <w:rPr>
                <w:szCs w:val="21"/>
              </w:rPr>
              <w:t>PHYS</w:t>
            </w:r>
            <w:r>
              <w:rPr>
                <w:szCs w:val="21"/>
              </w:rPr>
              <w:t>1022</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大学物理</w:t>
            </w:r>
            <w:r>
              <w:rPr>
                <w:rFonts w:hAnsi="宋体"/>
                <w:szCs w:val="21"/>
              </w:rPr>
              <w:t>II</w:t>
            </w:r>
          </w:p>
        </w:tc>
        <w:tc>
          <w:tcPr>
            <w:tcW w:w="703" w:type="dxa"/>
            <w:vAlign w:val="center"/>
          </w:tcPr>
          <w:p w:rsidR="003F7D87" w:rsidRPr="002801D0" w:rsidRDefault="003F7D87" w:rsidP="00021C46">
            <w:pPr>
              <w:adjustRightInd w:val="0"/>
              <w:snapToGrid w:val="0"/>
              <w:jc w:val="center"/>
              <w:rPr>
                <w:szCs w:val="21"/>
              </w:rPr>
            </w:pPr>
            <w:r>
              <w:rPr>
                <w:szCs w:val="21"/>
              </w:rPr>
              <w:t>8</w:t>
            </w:r>
          </w:p>
        </w:tc>
        <w:tc>
          <w:tcPr>
            <w:tcW w:w="1187" w:type="dxa"/>
            <w:vAlign w:val="center"/>
          </w:tcPr>
          <w:p w:rsidR="003F7D87" w:rsidRPr="002801D0" w:rsidRDefault="003F7D87" w:rsidP="00021C46">
            <w:pPr>
              <w:spacing w:line="300" w:lineRule="auto"/>
              <w:jc w:val="center"/>
              <w:rPr>
                <w:szCs w:val="21"/>
              </w:rPr>
            </w:pPr>
            <w:r>
              <w:rPr>
                <w:szCs w:val="21"/>
              </w:rPr>
              <w:t>128</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授课</w:t>
            </w:r>
          </w:p>
        </w:tc>
      </w:tr>
      <w:tr w:rsidR="003F7D87" w:rsidRPr="002801D0" w:rsidTr="00021C46">
        <w:trPr>
          <w:jc w:val="center"/>
        </w:trPr>
        <w:tc>
          <w:tcPr>
            <w:tcW w:w="1158" w:type="dxa"/>
            <w:vAlign w:val="center"/>
          </w:tcPr>
          <w:p w:rsidR="003F7D87" w:rsidRPr="002801D0" w:rsidRDefault="003F7D87" w:rsidP="00021C46">
            <w:pPr>
              <w:spacing w:line="300" w:lineRule="auto"/>
              <w:jc w:val="center"/>
              <w:rPr>
                <w:szCs w:val="21"/>
              </w:rPr>
            </w:pPr>
            <w:r w:rsidRPr="002801D0">
              <w:rPr>
                <w:szCs w:val="21"/>
              </w:rPr>
              <w:t>2</w:t>
            </w:r>
          </w:p>
        </w:tc>
        <w:tc>
          <w:tcPr>
            <w:tcW w:w="1260" w:type="dxa"/>
            <w:vAlign w:val="center"/>
          </w:tcPr>
          <w:p w:rsidR="003F7D87" w:rsidRPr="002801D0" w:rsidRDefault="003F7D87" w:rsidP="00021C46">
            <w:pPr>
              <w:adjustRightInd w:val="0"/>
              <w:snapToGrid w:val="0"/>
              <w:jc w:val="center"/>
              <w:rPr>
                <w:szCs w:val="21"/>
              </w:rPr>
            </w:pPr>
            <w:r w:rsidRPr="002801D0">
              <w:rPr>
                <w:szCs w:val="21"/>
              </w:rPr>
              <w:t>PHYS10</w:t>
            </w:r>
            <w:r>
              <w:rPr>
                <w:szCs w:val="21"/>
              </w:rPr>
              <w:t>19</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大学物理实验（</w:t>
            </w:r>
            <w:r w:rsidRPr="002801D0">
              <w:rPr>
                <w:szCs w:val="21"/>
              </w:rPr>
              <w:t>A</w:t>
            </w:r>
            <w:r w:rsidRPr="002801D0">
              <w:rPr>
                <w:rFonts w:hAnsi="宋体" w:hint="eastAsia"/>
                <w:szCs w:val="21"/>
              </w:rPr>
              <w:t>）</w:t>
            </w:r>
          </w:p>
        </w:tc>
        <w:tc>
          <w:tcPr>
            <w:tcW w:w="703" w:type="dxa"/>
            <w:vAlign w:val="center"/>
          </w:tcPr>
          <w:p w:rsidR="003F7D87" w:rsidRPr="002801D0" w:rsidRDefault="003F7D87" w:rsidP="00021C46">
            <w:pPr>
              <w:adjustRightInd w:val="0"/>
              <w:snapToGrid w:val="0"/>
              <w:jc w:val="center"/>
              <w:rPr>
                <w:szCs w:val="21"/>
              </w:rPr>
            </w:pPr>
            <w:r>
              <w:rPr>
                <w:szCs w:val="21"/>
              </w:rPr>
              <w:t>2</w:t>
            </w:r>
          </w:p>
        </w:tc>
        <w:tc>
          <w:tcPr>
            <w:tcW w:w="1187" w:type="dxa"/>
            <w:vAlign w:val="center"/>
          </w:tcPr>
          <w:p w:rsidR="003F7D87" w:rsidRPr="002801D0" w:rsidRDefault="003F7D87" w:rsidP="00021C46">
            <w:pPr>
              <w:spacing w:line="300" w:lineRule="auto"/>
              <w:jc w:val="center"/>
              <w:rPr>
                <w:szCs w:val="21"/>
              </w:rPr>
            </w:pPr>
            <w:r>
              <w:rPr>
                <w:szCs w:val="21"/>
              </w:rPr>
              <w:t>64</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实验</w:t>
            </w:r>
          </w:p>
        </w:tc>
      </w:tr>
      <w:tr w:rsidR="003F7D87" w:rsidRPr="002801D0" w:rsidTr="00021C46">
        <w:trPr>
          <w:jc w:val="center"/>
        </w:trPr>
        <w:tc>
          <w:tcPr>
            <w:tcW w:w="1158" w:type="dxa"/>
            <w:vAlign w:val="center"/>
          </w:tcPr>
          <w:p w:rsidR="003F7D87" w:rsidRPr="002801D0" w:rsidRDefault="003F7D87" w:rsidP="00021C46">
            <w:pPr>
              <w:adjustRightInd w:val="0"/>
              <w:snapToGrid w:val="0"/>
              <w:jc w:val="center"/>
              <w:rPr>
                <w:szCs w:val="21"/>
              </w:rPr>
            </w:pPr>
            <w:r w:rsidRPr="002801D0">
              <w:rPr>
                <w:szCs w:val="21"/>
              </w:rPr>
              <w:t>2</w:t>
            </w:r>
          </w:p>
        </w:tc>
        <w:tc>
          <w:tcPr>
            <w:tcW w:w="1260" w:type="dxa"/>
            <w:vAlign w:val="center"/>
          </w:tcPr>
          <w:p w:rsidR="003F7D87" w:rsidRPr="002801D0" w:rsidRDefault="003F7D87" w:rsidP="00021C46">
            <w:pPr>
              <w:adjustRightInd w:val="0"/>
              <w:snapToGrid w:val="0"/>
              <w:jc w:val="center"/>
              <w:rPr>
                <w:szCs w:val="21"/>
              </w:rPr>
            </w:pPr>
            <w:r w:rsidRPr="002801D0">
              <w:rPr>
                <w:szCs w:val="21"/>
              </w:rPr>
              <w:t>CHEM2001</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有机化学（</w:t>
            </w:r>
            <w:r w:rsidRPr="002801D0">
              <w:rPr>
                <w:rFonts w:ascii="宋体" w:hAnsi="宋体" w:hint="eastAsia"/>
                <w:szCs w:val="21"/>
              </w:rPr>
              <w:t>Ⅰ</w:t>
            </w:r>
            <w:r w:rsidRPr="002801D0">
              <w:rPr>
                <w:rFonts w:hAnsi="宋体" w:hint="eastAsia"/>
                <w:szCs w:val="21"/>
              </w:rPr>
              <w:t>）</w:t>
            </w:r>
          </w:p>
        </w:tc>
        <w:tc>
          <w:tcPr>
            <w:tcW w:w="703" w:type="dxa"/>
            <w:vAlign w:val="center"/>
          </w:tcPr>
          <w:p w:rsidR="003F7D87" w:rsidRPr="002801D0" w:rsidRDefault="003F7D87" w:rsidP="00021C46">
            <w:pPr>
              <w:adjustRightInd w:val="0"/>
              <w:snapToGrid w:val="0"/>
              <w:jc w:val="center"/>
              <w:rPr>
                <w:szCs w:val="21"/>
              </w:rPr>
            </w:pPr>
            <w:r w:rsidRPr="002801D0">
              <w:rPr>
                <w:szCs w:val="21"/>
              </w:rPr>
              <w:t>4</w:t>
            </w:r>
          </w:p>
        </w:tc>
        <w:tc>
          <w:tcPr>
            <w:tcW w:w="1187" w:type="dxa"/>
            <w:vAlign w:val="center"/>
          </w:tcPr>
          <w:p w:rsidR="003F7D87" w:rsidRPr="002801D0" w:rsidRDefault="003F7D87" w:rsidP="00021C46">
            <w:pPr>
              <w:spacing w:line="300" w:lineRule="auto"/>
              <w:jc w:val="center"/>
              <w:rPr>
                <w:szCs w:val="21"/>
              </w:rPr>
            </w:pPr>
            <w:r w:rsidRPr="002801D0">
              <w:rPr>
                <w:szCs w:val="21"/>
              </w:rPr>
              <w:t>64</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授课</w:t>
            </w:r>
          </w:p>
        </w:tc>
      </w:tr>
      <w:tr w:rsidR="003F7D87" w:rsidRPr="002801D0" w:rsidTr="00021C46">
        <w:trPr>
          <w:jc w:val="center"/>
        </w:trPr>
        <w:tc>
          <w:tcPr>
            <w:tcW w:w="1158" w:type="dxa"/>
            <w:vAlign w:val="center"/>
          </w:tcPr>
          <w:p w:rsidR="003F7D87" w:rsidRPr="002801D0" w:rsidRDefault="003F7D87" w:rsidP="00021C46">
            <w:pPr>
              <w:spacing w:line="300" w:lineRule="auto"/>
              <w:jc w:val="center"/>
              <w:rPr>
                <w:szCs w:val="21"/>
              </w:rPr>
            </w:pPr>
            <w:r w:rsidRPr="002801D0">
              <w:rPr>
                <w:szCs w:val="21"/>
              </w:rPr>
              <w:t>2</w:t>
            </w:r>
          </w:p>
        </w:tc>
        <w:tc>
          <w:tcPr>
            <w:tcW w:w="1260" w:type="dxa"/>
            <w:vAlign w:val="center"/>
          </w:tcPr>
          <w:p w:rsidR="003F7D87" w:rsidRPr="002801D0" w:rsidRDefault="003F7D87" w:rsidP="00021C46">
            <w:pPr>
              <w:adjustRightInd w:val="0"/>
              <w:snapToGrid w:val="0"/>
              <w:jc w:val="center"/>
              <w:rPr>
                <w:szCs w:val="21"/>
              </w:rPr>
            </w:pPr>
            <w:r w:rsidRPr="002801D0">
              <w:rPr>
                <w:szCs w:val="21"/>
              </w:rPr>
              <w:t>CHEM2002</w:t>
            </w:r>
          </w:p>
        </w:tc>
        <w:tc>
          <w:tcPr>
            <w:tcW w:w="2310" w:type="dxa"/>
            <w:vAlign w:val="center"/>
          </w:tcPr>
          <w:p w:rsidR="003F7D87" w:rsidRPr="002801D0" w:rsidRDefault="003F7D87" w:rsidP="00021C46">
            <w:pPr>
              <w:adjustRightInd w:val="0"/>
              <w:snapToGrid w:val="0"/>
              <w:jc w:val="center"/>
              <w:rPr>
                <w:szCs w:val="21"/>
              </w:rPr>
            </w:pPr>
            <w:r w:rsidRPr="002801D0">
              <w:rPr>
                <w:rFonts w:hAnsi="宋体" w:hint="eastAsia"/>
                <w:szCs w:val="21"/>
              </w:rPr>
              <w:t>有机化学实验（</w:t>
            </w:r>
            <w:r w:rsidRPr="002801D0">
              <w:rPr>
                <w:rFonts w:ascii="宋体" w:hAnsi="宋体" w:hint="eastAsia"/>
                <w:szCs w:val="21"/>
              </w:rPr>
              <w:t>Ⅰ</w:t>
            </w:r>
            <w:r w:rsidRPr="002801D0">
              <w:rPr>
                <w:rFonts w:hAnsi="宋体" w:hint="eastAsia"/>
                <w:szCs w:val="21"/>
              </w:rPr>
              <w:t>）</w:t>
            </w:r>
          </w:p>
        </w:tc>
        <w:tc>
          <w:tcPr>
            <w:tcW w:w="703" w:type="dxa"/>
            <w:vAlign w:val="center"/>
          </w:tcPr>
          <w:p w:rsidR="003F7D87" w:rsidRPr="002801D0" w:rsidRDefault="003F7D87" w:rsidP="00021C46">
            <w:pPr>
              <w:adjustRightInd w:val="0"/>
              <w:snapToGrid w:val="0"/>
              <w:jc w:val="center"/>
              <w:rPr>
                <w:szCs w:val="21"/>
              </w:rPr>
            </w:pPr>
            <w:r w:rsidRPr="002801D0">
              <w:rPr>
                <w:szCs w:val="21"/>
              </w:rPr>
              <w:t>1</w:t>
            </w:r>
          </w:p>
        </w:tc>
        <w:tc>
          <w:tcPr>
            <w:tcW w:w="1187" w:type="dxa"/>
            <w:vAlign w:val="center"/>
          </w:tcPr>
          <w:p w:rsidR="003F7D87" w:rsidRPr="002801D0" w:rsidRDefault="003F7D87" w:rsidP="00021C46">
            <w:pPr>
              <w:spacing w:line="300" w:lineRule="auto"/>
              <w:jc w:val="center"/>
              <w:rPr>
                <w:szCs w:val="21"/>
              </w:rPr>
            </w:pPr>
            <w:r w:rsidRPr="002801D0">
              <w:rPr>
                <w:szCs w:val="21"/>
              </w:rPr>
              <w:t>32</w:t>
            </w:r>
          </w:p>
        </w:tc>
        <w:tc>
          <w:tcPr>
            <w:tcW w:w="1187" w:type="dxa"/>
            <w:vAlign w:val="center"/>
          </w:tcPr>
          <w:p w:rsidR="003F7D87" w:rsidRPr="002801D0" w:rsidRDefault="003F7D87" w:rsidP="00021C46">
            <w:pPr>
              <w:jc w:val="center"/>
              <w:rPr>
                <w:szCs w:val="21"/>
              </w:rPr>
            </w:pPr>
            <w:r w:rsidRPr="002801D0">
              <w:rPr>
                <w:rFonts w:hint="eastAsia"/>
                <w:szCs w:val="21"/>
              </w:rPr>
              <w:t>必修</w:t>
            </w:r>
          </w:p>
        </w:tc>
        <w:tc>
          <w:tcPr>
            <w:tcW w:w="1187" w:type="dxa"/>
            <w:vAlign w:val="center"/>
          </w:tcPr>
          <w:p w:rsidR="003F7D87" w:rsidRPr="002801D0" w:rsidRDefault="003F7D87" w:rsidP="00021C46">
            <w:pPr>
              <w:jc w:val="center"/>
              <w:rPr>
                <w:szCs w:val="21"/>
              </w:rPr>
            </w:pPr>
            <w:r w:rsidRPr="002801D0">
              <w:rPr>
                <w:rFonts w:hint="eastAsia"/>
                <w:szCs w:val="21"/>
              </w:rPr>
              <w:t>实验</w:t>
            </w:r>
          </w:p>
        </w:tc>
      </w:tr>
    </w:tbl>
    <w:p w:rsidR="003F7D87" w:rsidRPr="00BC5BDB" w:rsidRDefault="003F7D87" w:rsidP="00CE60EE">
      <w:pPr>
        <w:numPr>
          <w:ilvl w:val="0"/>
          <w:numId w:val="1"/>
        </w:numPr>
        <w:spacing w:line="300" w:lineRule="auto"/>
        <w:rPr>
          <w:sz w:val="28"/>
          <w:szCs w:val="28"/>
        </w:rPr>
      </w:pPr>
      <w:r w:rsidRPr="00BC5BDB">
        <w:rPr>
          <w:rFonts w:hint="eastAsia"/>
          <w:sz w:val="28"/>
          <w:szCs w:val="28"/>
        </w:rPr>
        <w:t>本表只列出地球环境科学专业培养方案中自然科学、学科大类、专业类必修课程，</w:t>
      </w:r>
      <w:r w:rsidRPr="00BC5BDB">
        <w:rPr>
          <w:sz w:val="28"/>
          <w:szCs w:val="28"/>
        </w:rPr>
        <w:t xml:space="preserve"> </w:t>
      </w:r>
    </w:p>
    <w:p w:rsidR="003F7D87" w:rsidRPr="00BC5BDB" w:rsidRDefault="003F7D87" w:rsidP="00CE60EE">
      <w:pPr>
        <w:numPr>
          <w:ilvl w:val="1"/>
          <w:numId w:val="1"/>
        </w:numPr>
        <w:spacing w:line="300" w:lineRule="auto"/>
        <w:rPr>
          <w:sz w:val="28"/>
          <w:szCs w:val="28"/>
        </w:rPr>
      </w:pPr>
      <w:r w:rsidRPr="00BC5BDB">
        <w:rPr>
          <w:rFonts w:hint="eastAsia"/>
          <w:sz w:val="28"/>
          <w:szCs w:val="28"/>
        </w:rPr>
        <w:t>如果申请学生原专业的培养方案中没有上述课程，则转入后就需要补修该课程。</w:t>
      </w:r>
    </w:p>
    <w:p w:rsidR="003F7D87" w:rsidRPr="00BC5BDB" w:rsidRDefault="003F7D87"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如果申请学生原专业的培养方案中有上述课程，课程名相同且学时（学分）数大于等于上表要求，则转入后不用再补修相关课程。</w:t>
      </w:r>
    </w:p>
    <w:p w:rsidR="003F7D87" w:rsidRPr="00BC5BDB" w:rsidRDefault="003F7D87"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如果申请学生原专业的培养方案中有上述课程，课程名相同且学分（学时）小于上表要求，但学生获得的该课程成绩≥</w:t>
      </w:r>
      <w:r w:rsidRPr="00BC5BDB">
        <w:rPr>
          <w:sz w:val="28"/>
          <w:szCs w:val="28"/>
        </w:rPr>
        <w:t>85</w:t>
      </w:r>
      <w:r w:rsidRPr="00BC5BDB">
        <w:rPr>
          <w:rFonts w:hint="eastAsia"/>
          <w:sz w:val="28"/>
          <w:szCs w:val="28"/>
        </w:rPr>
        <w:t>分，则转入后不用再补修相关课程。</w:t>
      </w:r>
    </w:p>
    <w:p w:rsidR="003F7D87" w:rsidRPr="00BC5BDB" w:rsidRDefault="003F7D87"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如果申请学生原专业的培养方案中有上述课程，课程名相同且学分（学时）小于上表要求，但学生获得的该课程成绩</w:t>
      </w:r>
      <w:r w:rsidRPr="00BC5BDB">
        <w:rPr>
          <w:sz w:val="28"/>
          <w:szCs w:val="28"/>
        </w:rPr>
        <w:t>&lt;85</w:t>
      </w:r>
      <w:r w:rsidRPr="00BC5BDB">
        <w:rPr>
          <w:rFonts w:hint="eastAsia"/>
          <w:sz w:val="28"/>
          <w:szCs w:val="28"/>
        </w:rPr>
        <w:t>分，则转入后需要补修相关课程。</w:t>
      </w:r>
    </w:p>
    <w:p w:rsidR="003F7D87" w:rsidRPr="00BC5BDB" w:rsidRDefault="003F7D87" w:rsidP="00CE60EE">
      <w:pPr>
        <w:numPr>
          <w:ilvl w:val="0"/>
          <w:numId w:val="1"/>
        </w:numPr>
        <w:spacing w:line="300" w:lineRule="auto"/>
        <w:rPr>
          <w:sz w:val="28"/>
          <w:szCs w:val="28"/>
        </w:rPr>
      </w:pPr>
      <w:r w:rsidRPr="00BC5BDB">
        <w:rPr>
          <w:rFonts w:hint="eastAsia"/>
          <w:sz w:val="28"/>
          <w:szCs w:val="28"/>
        </w:rPr>
        <w:t>申请学生原专业的培养方案中，“两课”国防教育、人文社科、经济管理、体育英语计算机类的课程，如果有与地球环境科学专业培养方案不同的，只要学生能在一年级完成原专业培养方案中的同类课程的学分就可以，转入地球环境科学专业后，不需要再补修不同的课程。</w:t>
      </w:r>
    </w:p>
    <w:p w:rsidR="003F7D87" w:rsidRPr="00BC5BDB" w:rsidRDefault="003F7D87" w:rsidP="00CE60EE">
      <w:pPr>
        <w:numPr>
          <w:ilvl w:val="0"/>
          <w:numId w:val="1"/>
        </w:numPr>
        <w:spacing w:line="300" w:lineRule="auto"/>
        <w:rPr>
          <w:sz w:val="28"/>
          <w:szCs w:val="28"/>
        </w:rPr>
      </w:pPr>
      <w:r w:rsidRPr="00BC5BDB">
        <w:rPr>
          <w:rFonts w:hint="eastAsia"/>
          <w:sz w:val="28"/>
          <w:szCs w:val="28"/>
        </w:rPr>
        <w:t>其它有关补修的未尽事宜，由环境科学系负责解释，并在面试时向学生做出明确说明。</w:t>
      </w:r>
    </w:p>
    <w:p w:rsidR="003F7D87" w:rsidRPr="00BC5BDB" w:rsidRDefault="003F7D87" w:rsidP="00DC0177">
      <w:pPr>
        <w:outlineLvl w:val="0"/>
        <w:rPr>
          <w:b/>
          <w:sz w:val="28"/>
          <w:szCs w:val="28"/>
        </w:rPr>
      </w:pPr>
      <w:r w:rsidRPr="00BC5BDB">
        <w:rPr>
          <w:rFonts w:hint="eastAsia"/>
          <w:b/>
          <w:sz w:val="28"/>
          <w:szCs w:val="28"/>
        </w:rPr>
        <w:t>三、审核方式</w:t>
      </w:r>
    </w:p>
    <w:p w:rsidR="003F7D87" w:rsidRPr="00BC5BDB" w:rsidRDefault="003F7D87" w:rsidP="005069B9">
      <w:pPr>
        <w:spacing w:line="300" w:lineRule="auto"/>
        <w:ind w:firstLineChars="200" w:firstLine="31680"/>
        <w:rPr>
          <w:sz w:val="28"/>
          <w:szCs w:val="28"/>
        </w:rPr>
      </w:pPr>
      <w:r w:rsidRPr="00BC5BDB">
        <w:rPr>
          <w:rFonts w:hint="eastAsia"/>
          <w:sz w:val="28"/>
          <w:szCs w:val="28"/>
        </w:rPr>
        <w:t>审核学生转专业基本条件，根据原专业第一学期学习成绩确定通过初审的学生（人数不超过公布计划数的</w:t>
      </w:r>
      <w:r w:rsidRPr="00BC5BDB">
        <w:rPr>
          <w:sz w:val="28"/>
          <w:szCs w:val="28"/>
        </w:rPr>
        <w:t>120%</w:t>
      </w:r>
      <w:r w:rsidRPr="00BC5BDB">
        <w:rPr>
          <w:rFonts w:hint="eastAsia"/>
          <w:sz w:val="28"/>
          <w:szCs w:val="28"/>
        </w:rPr>
        <w:t>，即</w:t>
      </w:r>
      <w:r w:rsidRPr="00BC5BDB">
        <w:rPr>
          <w:sz w:val="28"/>
          <w:szCs w:val="28"/>
        </w:rPr>
        <w:t>3</w:t>
      </w:r>
      <w:r w:rsidRPr="00BC5BDB">
        <w:rPr>
          <w:rFonts w:hint="eastAsia"/>
          <w:sz w:val="28"/>
          <w:szCs w:val="28"/>
        </w:rPr>
        <w:t>人），上报院，公布名单。</w:t>
      </w:r>
    </w:p>
    <w:p w:rsidR="003F7D87" w:rsidRPr="00BC5BDB" w:rsidRDefault="003F7D87" w:rsidP="005069B9">
      <w:pPr>
        <w:spacing w:line="300" w:lineRule="auto"/>
        <w:ind w:firstLineChars="200" w:firstLine="31680"/>
        <w:rPr>
          <w:sz w:val="28"/>
          <w:szCs w:val="28"/>
        </w:rPr>
      </w:pPr>
      <w:r w:rsidRPr="00BC5BDB">
        <w:rPr>
          <w:rFonts w:hint="eastAsia"/>
          <w:sz w:val="28"/>
          <w:szCs w:val="28"/>
        </w:rPr>
        <w:t>由环境科学系组织面试小组，在学校规定的时间内，对通过初审的学生进行面试，全面审核学生情况，包括：</w:t>
      </w:r>
      <w:r w:rsidRPr="00BC5BDB">
        <w:rPr>
          <w:sz w:val="28"/>
          <w:szCs w:val="28"/>
        </w:rPr>
        <w:t>1</w:t>
      </w:r>
      <w:r w:rsidRPr="00BC5BDB">
        <w:rPr>
          <w:rFonts w:hint="eastAsia"/>
          <w:sz w:val="28"/>
          <w:szCs w:val="28"/>
        </w:rPr>
        <w:t>）根据学校转专业基本要求及本文“一、转入学生基本条件”审核学生转入资格；</w:t>
      </w:r>
      <w:r w:rsidRPr="00BC5BDB">
        <w:rPr>
          <w:sz w:val="28"/>
          <w:szCs w:val="28"/>
        </w:rPr>
        <w:t>2</w:t>
      </w:r>
      <w:r w:rsidRPr="00BC5BDB">
        <w:rPr>
          <w:rFonts w:hint="eastAsia"/>
          <w:sz w:val="28"/>
          <w:szCs w:val="28"/>
        </w:rPr>
        <w:t>）明确学生要求转专业的原因、转入地球环境科学专业的原因、对地球环境科学专业的了解情况；</w:t>
      </w:r>
      <w:r w:rsidRPr="00BC5BDB">
        <w:rPr>
          <w:sz w:val="28"/>
          <w:szCs w:val="28"/>
        </w:rPr>
        <w:t>3</w:t>
      </w:r>
      <w:r w:rsidRPr="00BC5BDB">
        <w:rPr>
          <w:rFonts w:hint="eastAsia"/>
          <w:sz w:val="28"/>
          <w:szCs w:val="28"/>
        </w:rPr>
        <w:t>）原专业第一学期的考试成绩及知识掌握情况；</w:t>
      </w:r>
      <w:r w:rsidRPr="00BC5BDB">
        <w:rPr>
          <w:sz w:val="28"/>
          <w:szCs w:val="28"/>
        </w:rPr>
        <w:t>4</w:t>
      </w:r>
      <w:r w:rsidRPr="00BC5BDB">
        <w:rPr>
          <w:rFonts w:hint="eastAsia"/>
          <w:sz w:val="28"/>
          <w:szCs w:val="28"/>
        </w:rPr>
        <w:t>）整体素质，心理健康状况等。</w:t>
      </w:r>
    </w:p>
    <w:p w:rsidR="003F7D87" w:rsidRPr="00BC5BDB" w:rsidRDefault="003F7D87" w:rsidP="005069B9">
      <w:pPr>
        <w:spacing w:line="300" w:lineRule="auto"/>
        <w:ind w:firstLineChars="200" w:firstLine="31680"/>
        <w:rPr>
          <w:sz w:val="28"/>
          <w:szCs w:val="28"/>
        </w:rPr>
      </w:pPr>
      <w:r w:rsidRPr="00BC5BDB">
        <w:rPr>
          <w:rFonts w:hint="eastAsia"/>
          <w:sz w:val="28"/>
          <w:szCs w:val="28"/>
        </w:rPr>
        <w:t>面试后，环境科学系依据审核结果给出综合成绩，并按照择优录取的原则及计划接收人数（</w:t>
      </w:r>
      <w:r>
        <w:rPr>
          <w:sz w:val="28"/>
          <w:szCs w:val="28"/>
        </w:rPr>
        <w:t>3</w:t>
      </w:r>
      <w:r w:rsidRPr="00BC5BDB">
        <w:rPr>
          <w:rFonts w:hint="eastAsia"/>
          <w:sz w:val="28"/>
          <w:szCs w:val="28"/>
        </w:rPr>
        <w:t>人）确定初录名单，上报人居学院。</w:t>
      </w:r>
    </w:p>
    <w:p w:rsidR="003F7D87" w:rsidRPr="00BC5BDB" w:rsidRDefault="003F7D87" w:rsidP="005069B9">
      <w:pPr>
        <w:spacing w:line="300" w:lineRule="auto"/>
        <w:ind w:firstLineChars="200" w:firstLine="31680"/>
        <w:rPr>
          <w:sz w:val="28"/>
          <w:szCs w:val="28"/>
        </w:rPr>
      </w:pPr>
      <w:r w:rsidRPr="00BC5BDB">
        <w:rPr>
          <w:rFonts w:hint="eastAsia"/>
          <w:sz w:val="28"/>
          <w:szCs w:val="28"/>
        </w:rPr>
        <w:t>面试时请学生携带学校申请转专业的必要材料，并请提交面试小组第一学期成绩证明复印件一份，上面注明自己计算的学分成绩并签字。</w:t>
      </w:r>
    </w:p>
    <w:p w:rsidR="003F7D87" w:rsidRPr="00BC5BDB" w:rsidRDefault="003F7D87" w:rsidP="00DC0177">
      <w:pPr>
        <w:outlineLvl w:val="0"/>
        <w:rPr>
          <w:b/>
          <w:sz w:val="28"/>
          <w:szCs w:val="28"/>
        </w:rPr>
      </w:pPr>
      <w:r w:rsidRPr="00BC5BDB">
        <w:rPr>
          <w:rFonts w:hint="eastAsia"/>
          <w:b/>
          <w:sz w:val="28"/>
          <w:szCs w:val="28"/>
        </w:rPr>
        <w:t>四、面试安排</w:t>
      </w:r>
    </w:p>
    <w:p w:rsidR="003F7D87" w:rsidRPr="00BC5BDB" w:rsidRDefault="003F7D87" w:rsidP="00CE60EE">
      <w:pPr>
        <w:spacing w:line="300" w:lineRule="auto"/>
        <w:rPr>
          <w:sz w:val="28"/>
          <w:szCs w:val="28"/>
        </w:rPr>
      </w:pPr>
      <w:r w:rsidRPr="00BC5BDB">
        <w:rPr>
          <w:rFonts w:hint="eastAsia"/>
          <w:sz w:val="28"/>
          <w:szCs w:val="28"/>
        </w:rPr>
        <w:t>面试时间：</w:t>
      </w:r>
      <w:r w:rsidRPr="001B31E8">
        <w:rPr>
          <w:sz w:val="28"/>
          <w:szCs w:val="28"/>
        </w:rPr>
        <w:t>5</w:t>
      </w:r>
      <w:r w:rsidRPr="001B31E8">
        <w:rPr>
          <w:rFonts w:hint="eastAsia"/>
          <w:sz w:val="28"/>
          <w:szCs w:val="28"/>
        </w:rPr>
        <w:t>月</w:t>
      </w:r>
      <w:r w:rsidRPr="001B31E8">
        <w:rPr>
          <w:sz w:val="28"/>
          <w:szCs w:val="28"/>
        </w:rPr>
        <w:t>2</w:t>
      </w:r>
      <w:r>
        <w:rPr>
          <w:sz w:val="28"/>
          <w:szCs w:val="28"/>
        </w:rPr>
        <w:t>7</w:t>
      </w:r>
      <w:r w:rsidRPr="001B31E8">
        <w:rPr>
          <w:rFonts w:hint="eastAsia"/>
          <w:sz w:val="28"/>
          <w:szCs w:val="28"/>
        </w:rPr>
        <w:t>日（第</w:t>
      </w:r>
      <w:r w:rsidRPr="001B31E8">
        <w:rPr>
          <w:sz w:val="28"/>
          <w:szCs w:val="28"/>
        </w:rPr>
        <w:t>1</w:t>
      </w:r>
      <w:r>
        <w:rPr>
          <w:sz w:val="28"/>
          <w:szCs w:val="28"/>
        </w:rPr>
        <w:t>3</w:t>
      </w:r>
      <w:r w:rsidRPr="001B31E8">
        <w:rPr>
          <w:rFonts w:hint="eastAsia"/>
          <w:sz w:val="28"/>
          <w:szCs w:val="28"/>
        </w:rPr>
        <w:t>周周</w:t>
      </w:r>
      <w:r>
        <w:rPr>
          <w:rFonts w:hint="eastAsia"/>
          <w:sz w:val="28"/>
          <w:szCs w:val="28"/>
        </w:rPr>
        <w:t>三</w:t>
      </w:r>
      <w:r w:rsidRPr="001B31E8">
        <w:rPr>
          <w:rFonts w:hint="eastAsia"/>
          <w:sz w:val="28"/>
          <w:szCs w:val="28"/>
        </w:rPr>
        <w:t>）下午</w:t>
      </w:r>
      <w:r w:rsidRPr="001B31E8">
        <w:rPr>
          <w:sz w:val="28"/>
          <w:szCs w:val="28"/>
        </w:rPr>
        <w:t>2</w:t>
      </w:r>
      <w:r w:rsidRPr="001B31E8">
        <w:rPr>
          <w:rFonts w:hint="eastAsia"/>
          <w:sz w:val="28"/>
          <w:szCs w:val="28"/>
        </w:rPr>
        <w:t>：</w:t>
      </w:r>
      <w:r w:rsidRPr="001B31E8">
        <w:rPr>
          <w:sz w:val="28"/>
          <w:szCs w:val="28"/>
        </w:rPr>
        <w:t>30</w:t>
      </w:r>
    </w:p>
    <w:p w:rsidR="003F7D87" w:rsidRPr="00BC5BDB" w:rsidRDefault="003F7D87" w:rsidP="00CE60EE">
      <w:pPr>
        <w:rPr>
          <w:sz w:val="28"/>
          <w:szCs w:val="28"/>
        </w:rPr>
      </w:pPr>
      <w:r w:rsidRPr="00BC5BDB">
        <w:rPr>
          <w:rFonts w:hint="eastAsia"/>
          <w:sz w:val="28"/>
          <w:szCs w:val="28"/>
        </w:rPr>
        <w:t>面试地点：曲江校区西一楼四楼人居学院第一会议室</w:t>
      </w:r>
    </w:p>
    <w:p w:rsidR="003F7D87" w:rsidRPr="00BC5BDB" w:rsidRDefault="003F7D87" w:rsidP="00DC0177">
      <w:pPr>
        <w:outlineLvl w:val="0"/>
        <w:rPr>
          <w:b/>
          <w:sz w:val="28"/>
          <w:szCs w:val="28"/>
        </w:rPr>
      </w:pPr>
      <w:r w:rsidRPr="00BC5BDB">
        <w:rPr>
          <w:rFonts w:hint="eastAsia"/>
          <w:b/>
          <w:sz w:val="28"/>
          <w:szCs w:val="28"/>
        </w:rPr>
        <w:t>五、咨询安排</w:t>
      </w:r>
    </w:p>
    <w:p w:rsidR="003F7D87" w:rsidRPr="00BC5BDB" w:rsidRDefault="003F7D87" w:rsidP="00CE60EE">
      <w:pPr>
        <w:spacing w:line="300" w:lineRule="auto"/>
        <w:rPr>
          <w:sz w:val="28"/>
          <w:szCs w:val="28"/>
        </w:rPr>
      </w:pPr>
      <w:r w:rsidRPr="00BC5BDB">
        <w:rPr>
          <w:rFonts w:hint="eastAsia"/>
          <w:sz w:val="28"/>
          <w:szCs w:val="28"/>
        </w:rPr>
        <w:t>咨询时间：</w:t>
      </w:r>
      <w:r>
        <w:rPr>
          <w:sz w:val="28"/>
          <w:szCs w:val="28"/>
        </w:rPr>
        <w:t>4</w:t>
      </w:r>
      <w:r>
        <w:rPr>
          <w:rFonts w:hint="eastAsia"/>
          <w:sz w:val="28"/>
          <w:szCs w:val="28"/>
        </w:rPr>
        <w:t>月</w:t>
      </w:r>
      <w:r>
        <w:rPr>
          <w:sz w:val="28"/>
          <w:szCs w:val="28"/>
        </w:rPr>
        <w:t>22</w:t>
      </w:r>
      <w:r>
        <w:rPr>
          <w:rFonts w:hint="eastAsia"/>
          <w:sz w:val="28"/>
          <w:szCs w:val="28"/>
        </w:rPr>
        <w:t>日</w:t>
      </w:r>
      <w:r>
        <w:rPr>
          <w:sz w:val="28"/>
          <w:szCs w:val="28"/>
        </w:rPr>
        <w:t>---5</w:t>
      </w:r>
      <w:r>
        <w:rPr>
          <w:rFonts w:hint="eastAsia"/>
          <w:sz w:val="28"/>
          <w:szCs w:val="28"/>
        </w:rPr>
        <w:t>月</w:t>
      </w:r>
      <w:r>
        <w:rPr>
          <w:sz w:val="28"/>
          <w:szCs w:val="28"/>
        </w:rPr>
        <w:t>5</w:t>
      </w:r>
      <w:r>
        <w:rPr>
          <w:rFonts w:hint="eastAsia"/>
          <w:sz w:val="28"/>
          <w:szCs w:val="28"/>
        </w:rPr>
        <w:t>日</w:t>
      </w:r>
      <w:r w:rsidRPr="00BC5BDB">
        <w:rPr>
          <w:rFonts w:hint="eastAsia"/>
          <w:sz w:val="28"/>
          <w:szCs w:val="28"/>
        </w:rPr>
        <w:t>。</w:t>
      </w:r>
    </w:p>
    <w:p w:rsidR="003F7D87" w:rsidRPr="00BC5BDB" w:rsidRDefault="003F7D87" w:rsidP="00CE60EE">
      <w:pPr>
        <w:spacing w:line="300" w:lineRule="auto"/>
        <w:rPr>
          <w:sz w:val="28"/>
          <w:szCs w:val="28"/>
        </w:rPr>
      </w:pPr>
      <w:r w:rsidRPr="00BC5BDB">
        <w:rPr>
          <w:rFonts w:hint="eastAsia"/>
          <w:sz w:val="28"/>
          <w:szCs w:val="28"/>
        </w:rPr>
        <w:t>咨询电话：</w:t>
      </w:r>
      <w:r w:rsidRPr="00BC5BDB">
        <w:rPr>
          <w:sz w:val="28"/>
          <w:szCs w:val="28"/>
        </w:rPr>
        <w:t>13609203003</w:t>
      </w:r>
      <w:r w:rsidRPr="00BC5BDB">
        <w:rPr>
          <w:rFonts w:hint="eastAsia"/>
          <w:sz w:val="28"/>
          <w:szCs w:val="28"/>
        </w:rPr>
        <w:t>（</w:t>
      </w:r>
      <w:smartTag w:uri="urn:schemas-microsoft-com:office:smarttags" w:element="chsdate">
        <w:smartTagPr>
          <w:attr w:name="Year" w:val="2014"/>
          <w:attr w:name="Month" w:val="4"/>
          <w:attr w:name="Day" w:val="15"/>
          <w:attr w:name="IsLunarDate" w:val="False"/>
          <w:attr w:name="IsROCDate" w:val="False"/>
        </w:smartTagPr>
        <w:r w:rsidRPr="00BC5BDB">
          <w:rPr>
            <w:rFonts w:hint="eastAsia"/>
            <w:sz w:val="28"/>
            <w:szCs w:val="28"/>
          </w:rPr>
          <w:t>李</w:t>
        </w:r>
      </w:smartTag>
      <w:r w:rsidRPr="00BC5BDB">
        <w:rPr>
          <w:rFonts w:hint="eastAsia"/>
          <w:sz w:val="28"/>
          <w:szCs w:val="28"/>
        </w:rPr>
        <w:t>老师）</w:t>
      </w:r>
    </w:p>
    <w:p w:rsidR="003F7D87" w:rsidRPr="00BC5BDB" w:rsidRDefault="003F7D87" w:rsidP="00CE60EE">
      <w:pPr>
        <w:spacing w:line="300" w:lineRule="auto"/>
        <w:rPr>
          <w:sz w:val="28"/>
          <w:szCs w:val="28"/>
        </w:rPr>
      </w:pPr>
    </w:p>
    <w:p w:rsidR="003F7D87" w:rsidRPr="00BC5BDB" w:rsidRDefault="003F7D87" w:rsidP="00CE60EE">
      <w:pPr>
        <w:spacing w:line="300" w:lineRule="auto"/>
        <w:rPr>
          <w:sz w:val="28"/>
          <w:szCs w:val="28"/>
        </w:rPr>
      </w:pPr>
      <w:r w:rsidRPr="00BC5BDB">
        <w:rPr>
          <w:sz w:val="28"/>
          <w:szCs w:val="28"/>
        </w:rPr>
        <w:t xml:space="preserve">                  </w:t>
      </w:r>
      <w:r>
        <w:rPr>
          <w:sz w:val="28"/>
          <w:szCs w:val="28"/>
        </w:rPr>
        <w:t xml:space="preserve">                         </w:t>
      </w:r>
      <w:r w:rsidRPr="00BC5BDB">
        <w:rPr>
          <w:rFonts w:hint="eastAsia"/>
          <w:sz w:val="28"/>
          <w:szCs w:val="28"/>
        </w:rPr>
        <w:t>环境科学与技术系</w:t>
      </w:r>
    </w:p>
    <w:p w:rsidR="003F7D87" w:rsidRPr="00BC5BDB" w:rsidRDefault="003F7D87" w:rsidP="005069B9">
      <w:pPr>
        <w:spacing w:line="300" w:lineRule="auto"/>
        <w:ind w:firstLineChars="2200" w:firstLine="31680"/>
        <w:rPr>
          <w:sz w:val="28"/>
          <w:szCs w:val="28"/>
        </w:rPr>
      </w:pPr>
      <w:smartTag w:uri="urn:schemas-microsoft-com:office:smarttags" w:element="chsdate">
        <w:smartTagPr>
          <w:attr w:name="IsROCDate" w:val="False"/>
          <w:attr w:name="IsLunarDate" w:val="False"/>
          <w:attr w:name="Day" w:val="15"/>
          <w:attr w:name="Month" w:val="4"/>
          <w:attr w:name="Year" w:val="2015"/>
        </w:smartTagPr>
        <w:r w:rsidRPr="00BC5BDB">
          <w:rPr>
            <w:sz w:val="28"/>
            <w:szCs w:val="28"/>
          </w:rPr>
          <w:t>201</w:t>
        </w:r>
        <w:r>
          <w:rPr>
            <w:sz w:val="28"/>
            <w:szCs w:val="28"/>
          </w:rPr>
          <w:t>5</w:t>
        </w:r>
        <w:r w:rsidRPr="00BC5BDB">
          <w:rPr>
            <w:rFonts w:hint="eastAsia"/>
            <w:sz w:val="28"/>
            <w:szCs w:val="28"/>
          </w:rPr>
          <w:t>年</w:t>
        </w:r>
        <w:r w:rsidRPr="00BC5BDB">
          <w:rPr>
            <w:sz w:val="28"/>
            <w:szCs w:val="28"/>
          </w:rPr>
          <w:t>4</w:t>
        </w:r>
        <w:r w:rsidRPr="00BC5BDB">
          <w:rPr>
            <w:rFonts w:hint="eastAsia"/>
            <w:sz w:val="28"/>
            <w:szCs w:val="28"/>
          </w:rPr>
          <w:t>月</w:t>
        </w:r>
        <w:r>
          <w:rPr>
            <w:sz w:val="28"/>
            <w:szCs w:val="28"/>
          </w:rPr>
          <w:t>15</w:t>
        </w:r>
        <w:r w:rsidRPr="00BC5BDB">
          <w:rPr>
            <w:rFonts w:hint="eastAsia"/>
            <w:sz w:val="28"/>
            <w:szCs w:val="28"/>
          </w:rPr>
          <w:t>日</w:t>
        </w:r>
      </w:smartTag>
    </w:p>
    <w:p w:rsidR="003F7D87" w:rsidRDefault="003F7D87"/>
    <w:sectPr w:rsidR="003F7D87" w:rsidSect="008F6F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610B"/>
    <w:multiLevelType w:val="hybridMultilevel"/>
    <w:tmpl w:val="22E279C6"/>
    <w:lvl w:ilvl="0" w:tplc="EED04D56">
      <w:start w:val="1"/>
      <w:numFmt w:val="decimal"/>
      <w:lvlText w:val="%1)"/>
      <w:lvlJc w:val="left"/>
      <w:pPr>
        <w:tabs>
          <w:tab w:val="num" w:pos="420"/>
        </w:tabs>
        <w:ind w:left="420" w:hanging="420"/>
      </w:pPr>
      <w:rPr>
        <w:rFonts w:cs="Times New Roman" w:hint="eastAsia"/>
      </w:rPr>
    </w:lvl>
    <w:lvl w:ilvl="1" w:tplc="0B9E12E2">
      <w:start w:val="1"/>
      <w:numFmt w:val="bullet"/>
      <w:lvlText w:val=""/>
      <w:lvlJc w:val="left"/>
      <w:pPr>
        <w:tabs>
          <w:tab w:val="num" w:pos="42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0EE"/>
    <w:rsid w:val="00021C46"/>
    <w:rsid w:val="00076E4D"/>
    <w:rsid w:val="00083406"/>
    <w:rsid w:val="000D73FB"/>
    <w:rsid w:val="000F4B37"/>
    <w:rsid w:val="00113129"/>
    <w:rsid w:val="00126002"/>
    <w:rsid w:val="001B31E8"/>
    <w:rsid w:val="00254FB7"/>
    <w:rsid w:val="002801D0"/>
    <w:rsid w:val="002A2B4E"/>
    <w:rsid w:val="002B0066"/>
    <w:rsid w:val="002B0553"/>
    <w:rsid w:val="00383B4B"/>
    <w:rsid w:val="003F7D87"/>
    <w:rsid w:val="00483F92"/>
    <w:rsid w:val="004D5973"/>
    <w:rsid w:val="004E5C06"/>
    <w:rsid w:val="004E5DC5"/>
    <w:rsid w:val="005069B9"/>
    <w:rsid w:val="0052704D"/>
    <w:rsid w:val="00600E2C"/>
    <w:rsid w:val="00607118"/>
    <w:rsid w:val="006E4586"/>
    <w:rsid w:val="0070503E"/>
    <w:rsid w:val="007771B2"/>
    <w:rsid w:val="007B5A29"/>
    <w:rsid w:val="007C1FAB"/>
    <w:rsid w:val="008041AF"/>
    <w:rsid w:val="008713DD"/>
    <w:rsid w:val="00894B1A"/>
    <w:rsid w:val="008B5B59"/>
    <w:rsid w:val="008C53EE"/>
    <w:rsid w:val="008F58E9"/>
    <w:rsid w:val="008F6F78"/>
    <w:rsid w:val="0091168A"/>
    <w:rsid w:val="0092605E"/>
    <w:rsid w:val="00935653"/>
    <w:rsid w:val="00974915"/>
    <w:rsid w:val="009844EB"/>
    <w:rsid w:val="00AB43CF"/>
    <w:rsid w:val="00B01EB2"/>
    <w:rsid w:val="00B129EF"/>
    <w:rsid w:val="00B67EC6"/>
    <w:rsid w:val="00B87712"/>
    <w:rsid w:val="00BC5BDB"/>
    <w:rsid w:val="00BD21E1"/>
    <w:rsid w:val="00C86A33"/>
    <w:rsid w:val="00CC05E2"/>
    <w:rsid w:val="00CE60EE"/>
    <w:rsid w:val="00D044E4"/>
    <w:rsid w:val="00D5121C"/>
    <w:rsid w:val="00DA25CE"/>
    <w:rsid w:val="00DC0177"/>
    <w:rsid w:val="00EC6C9C"/>
    <w:rsid w:val="00EE7DB5"/>
    <w:rsid w:val="00F24EE6"/>
    <w:rsid w:val="00F934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C0177"/>
    <w:rPr>
      <w:rFonts w:ascii="宋体"/>
      <w:sz w:val="18"/>
      <w:szCs w:val="18"/>
    </w:rPr>
  </w:style>
  <w:style w:type="character" w:customStyle="1" w:styleId="DocumentMapChar">
    <w:name w:val="Document Map Char"/>
    <w:basedOn w:val="DefaultParagraphFont"/>
    <w:link w:val="DocumentMap"/>
    <w:uiPriority w:val="99"/>
    <w:semiHidden/>
    <w:locked/>
    <w:rsid w:val="00DC0177"/>
    <w:rPr>
      <w:rFonts w:ascii="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226</Words>
  <Characters>1291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环境科学与技术专业接收2013级本科生转专业安排</dc:title>
  <dc:subject/>
  <dc:creator>Administrator</dc:creator>
  <cp:keywords/>
  <dc:description/>
  <cp:lastModifiedBy>王瑾</cp:lastModifiedBy>
  <cp:revision>7</cp:revision>
  <dcterms:created xsi:type="dcterms:W3CDTF">2014-04-23T02:13:00Z</dcterms:created>
  <dcterms:modified xsi:type="dcterms:W3CDTF">2015-04-21T00:37:00Z</dcterms:modified>
</cp:coreProperties>
</file>